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pStyle w:val="Style_3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</w:t>
      </w:r>
      <w:r>
        <w:t xml:space="preserve"> </w:t>
      </w:r>
      <w:r>
        <w:rPr>
          <w:rFonts w:ascii="Times New Roman" w:hAnsi="Times New Roman"/>
          <w:sz w:val="28"/>
        </w:rPr>
        <w:t>об оценке фактического воздействия</w:t>
      </w:r>
    </w:p>
    <w:p w14:paraId="09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color w:val="1A1A1A"/>
          <w:sz w:val="28"/>
        </w:rPr>
        <w:t>остановления администрации муниципального образования</w:t>
      </w: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color w:val="1A1A1A"/>
          <w:sz w:val="28"/>
        </w:rPr>
        <w:t>Северский район от 4 октября 2017 г. № 1368 «</w:t>
      </w:r>
      <w:r>
        <w:rPr>
          <w:rStyle w:val="Style_4_ch"/>
          <w:rFonts w:ascii="Times New Roman" w:hAnsi="Times New Roman"/>
          <w:color w:val="1A1A1A"/>
          <w:sz w:val="28"/>
        </w:rPr>
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</w:t>
      </w:r>
      <w:r>
        <w:rPr>
          <w:rFonts w:ascii="Times New Roman" w:hAnsi="Times New Roman"/>
          <w:color w:val="1A1A1A"/>
          <w:sz w:val="28"/>
        </w:rPr>
        <w:t xml:space="preserve">» </w:t>
      </w: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C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Управление</w:t>
      </w:r>
      <w:r>
        <w:rPr>
          <w:rFonts w:ascii="Times New Roman" w:hAnsi="Times New Roman"/>
          <w:sz w:val="28"/>
        </w:rPr>
        <w:t xml:space="preserve"> экономики, инвестиций и прогнозирования администрации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(далее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координирующий </w:t>
      </w:r>
      <w:r>
        <w:rPr>
          <w:rFonts w:ascii="Times New Roman" w:hAnsi="Times New Roman"/>
          <w:sz w:val="28"/>
        </w:rPr>
        <w:t xml:space="preserve">орган)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соответствии с </w:t>
      </w:r>
      <w:r>
        <w:rPr>
          <w:rStyle w:val="Style_3_ch"/>
          <w:rFonts w:ascii="Times New Roman" w:hAnsi="Times New Roman"/>
          <w:color w:val="1A1A1A"/>
          <w:sz w:val="28"/>
        </w:rPr>
        <w:t>Порядком установления и оценки применения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утвержденным постановлением администрации муниципального образования Северский район</w:t>
      </w:r>
      <w:r>
        <w:rPr>
          <w:rFonts w:ascii="Times New Roman" w:hAnsi="Times New Roman"/>
          <w:sz w:val="28"/>
        </w:rPr>
        <w:t xml:space="preserve"> от 23 сентября 2021 г. № 1864</w:t>
      </w:r>
      <w:r>
        <w:rPr>
          <w:rFonts w:ascii="Times New Roman" w:hAnsi="Times New Roman"/>
          <w:sz w:val="28"/>
        </w:rPr>
        <w:t xml:space="preserve"> (в редакции постановления от 01 сентября 2026 г. № 1479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</w:t>
      </w:r>
      <w:r>
        <w:rPr>
          <w:rFonts w:ascii="Times New Roman" w:hAnsi="Times New Roman"/>
          <w:sz w:val="28"/>
        </w:rPr>
        <w:t xml:space="preserve"> Порядок)</w:t>
      </w:r>
      <w:r>
        <w:rPr>
          <w:rFonts w:ascii="Times New Roman" w:hAnsi="Times New Roman"/>
          <w:sz w:val="28"/>
        </w:rPr>
        <w:t xml:space="preserve">, рассмотрел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color w:val="1A1A1A"/>
          <w:sz w:val="28"/>
        </w:rPr>
        <w:t>остановлени</w:t>
      </w:r>
      <w:r>
        <w:rPr>
          <w:rFonts w:ascii="Times New Roman" w:hAnsi="Times New Roman"/>
          <w:color w:val="1A1A1A"/>
          <w:sz w:val="28"/>
        </w:rPr>
        <w:t>е</w:t>
      </w:r>
      <w:r>
        <w:rPr>
          <w:rFonts w:ascii="Times New Roman" w:hAnsi="Times New Roman"/>
          <w:color w:val="1A1A1A"/>
          <w:sz w:val="28"/>
        </w:rPr>
        <w:t xml:space="preserve"> администрации муниципального образования</w:t>
      </w:r>
      <w:r>
        <w:rPr>
          <w:rFonts w:ascii="Times New Roman" w:hAnsi="Times New Roman"/>
          <w:color w:val="1A1A1A"/>
          <w:sz w:val="28"/>
        </w:rPr>
        <w:t xml:space="preserve"> Северский</w:t>
      </w:r>
      <w:r>
        <w:rPr>
          <w:rFonts w:ascii="Times New Roman" w:hAnsi="Times New Roman"/>
          <w:color w:val="1A1A1A"/>
          <w:sz w:val="28"/>
        </w:rPr>
        <w:t xml:space="preserve"> район от 4 октября 2017 г. № 1368 «</w:t>
      </w:r>
      <w:r>
        <w:rPr>
          <w:rStyle w:val="Style_4_ch"/>
          <w:rFonts w:ascii="Times New Roman" w:hAnsi="Times New Roman"/>
          <w:color w:val="1A1A1A"/>
          <w:sz w:val="28"/>
        </w:rPr>
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</w:t>
      </w:r>
      <w:r>
        <w:rPr>
          <w:rFonts w:ascii="Times New Roman" w:hAnsi="Times New Roman"/>
          <w:color w:val="1A1A1A"/>
          <w:sz w:val="28"/>
        </w:rPr>
        <w:t>»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 xml:space="preserve">далее –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 xml:space="preserve">нормативный правовой акт) и отчет об оценке фактического воздействия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>нормативного правового акта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(далее – отчет), направленный </w:t>
      </w:r>
      <w:r>
        <w:rPr>
          <w:rFonts w:ascii="Times New Roman" w:hAnsi="Times New Roman"/>
          <w:sz w:val="28"/>
        </w:rPr>
        <w:t xml:space="preserve">31 июля 2026 г.  для подготовки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8"/>
        </w:rPr>
        <w:t>настоящего заключения</w:t>
      </w:r>
      <w:r>
        <w:rPr>
          <w:rFonts w:ascii="Times New Roman" w:hAnsi="Times New Roman"/>
          <w:sz w:val="28"/>
        </w:rPr>
        <w:t xml:space="preserve"> управлением малого бизнеса и потребительской сферы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Северский муниципальный район Краснодарского края </w:t>
      </w:r>
      <w:r>
        <w:rPr>
          <w:rFonts w:ascii="Times New Roman" w:hAnsi="Times New Roman"/>
          <w:sz w:val="28"/>
        </w:rPr>
        <w:t>(далее – разработчик МНПА), и сообщает следующее.</w:t>
      </w:r>
      <w:r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sz w:val="24"/>
        </w:rPr>
        <w:t xml:space="preserve"> </w:t>
      </w:r>
    </w:p>
    <w:p w14:paraId="0E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 По результатам рассмотрения представленных материалов установлено, что при проведении оценки фактического воздействия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нарушения пунктов 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настоящего Порядка, которые могут оказать негативное влияние на обоснованность полученных разработчиком </w:t>
      </w:r>
      <w:r>
        <w:rPr>
          <w:rFonts w:ascii="Times New Roman" w:hAnsi="Times New Roman"/>
          <w:sz w:val="28"/>
        </w:rPr>
        <w:t xml:space="preserve">МНПА </w:t>
      </w:r>
      <w:r>
        <w:rPr>
          <w:rFonts w:ascii="Times New Roman" w:hAnsi="Times New Roman"/>
          <w:sz w:val="28"/>
        </w:rPr>
        <w:t>результатов, не выявлены.</w:t>
      </w:r>
    </w:p>
    <w:p w14:paraId="0F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Отчет направлен разработчиком</w:t>
      </w:r>
      <w:r>
        <w:rPr>
          <w:rFonts w:ascii="Times New Roman" w:hAnsi="Times New Roman"/>
          <w:sz w:val="28"/>
        </w:rPr>
        <w:t xml:space="preserve"> МНПА</w:t>
      </w:r>
      <w:r>
        <w:rPr>
          <w:rFonts w:ascii="Times New Roman" w:hAnsi="Times New Roman"/>
          <w:sz w:val="28"/>
        </w:rPr>
        <w:t xml:space="preserve"> для проведения оценки фактического воздействия</w:t>
      </w:r>
      <w:r>
        <w:rPr>
          <w:rFonts w:ascii="Times New Roman" w:hAnsi="Times New Roman"/>
          <w:sz w:val="28"/>
        </w:rPr>
        <w:t xml:space="preserve"> впервые.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3. Информация об оценке фактического воздействия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размещена разработчиком </w:t>
      </w:r>
      <w:r>
        <w:rPr>
          <w:rFonts w:ascii="Times New Roman" w:hAnsi="Times New Roman"/>
          <w:sz w:val="28"/>
        </w:rPr>
        <w:t xml:space="preserve">МНПА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официальном сайте муниципального образования Северский район в информационно-телекоммуникационной сети «Интернет» (</w:t>
      </w:r>
      <w:r>
        <w:rPr>
          <w:rStyle w:val="Style_5_ch"/>
          <w:rFonts w:ascii="Times New Roman" w:hAnsi="Times New Roman"/>
          <w:color w:themeColor="text1" w:val="000000"/>
          <w:sz w:val="28"/>
          <w:u w:val="none"/>
        </w:rPr>
        <w:fldChar w:fldCharType="begin"/>
      </w:r>
      <w:r>
        <w:rPr>
          <w:rStyle w:val="Style_5_ch"/>
          <w:rFonts w:ascii="Times New Roman" w:hAnsi="Times New Roman"/>
          <w:color w:themeColor="text1" w:val="000000"/>
          <w:sz w:val="28"/>
          <w:u w:val="none"/>
        </w:rPr>
        <w:instrText>HYPERLINK "https://тимрегион.рф"</w:instrText>
      </w:r>
      <w:r>
        <w:rPr>
          <w:rStyle w:val="Style_5_ch"/>
          <w:rFonts w:ascii="Times New Roman" w:hAnsi="Times New Roman"/>
          <w:color w:themeColor="text1" w:val="000000"/>
          <w:sz w:val="28"/>
          <w:u w:val="none"/>
        </w:rPr>
        <w:fldChar w:fldCharType="separate"/>
      </w:r>
      <w:r>
        <w:rPr>
          <w:rStyle w:val="Style_5_ch"/>
          <w:rFonts w:ascii="Times New Roman" w:hAnsi="Times New Roman"/>
          <w:color w:themeColor="text1" w:val="000000"/>
          <w:sz w:val="28"/>
          <w:u w:val="none"/>
        </w:rPr>
        <w:t>https://sevadm.ru</w:t>
      </w:r>
      <w:r>
        <w:rPr>
          <w:rStyle w:val="Style_5_ch"/>
          <w:rFonts w:ascii="Times New Roman" w:hAnsi="Times New Roman"/>
          <w:color w:themeColor="text1"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(далее – Интернет-портал)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целях их общественного обсуждения по адресу:</w:t>
      </w: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fldChar w:fldCharType="begin"/>
      </w:r>
      <w:r>
        <w:rPr>
          <w:rStyle w:val="Style_5_ch"/>
          <w:rFonts w:ascii="Times New Roman" w:hAnsi="Times New Roman"/>
          <w:sz w:val="28"/>
        </w:rPr>
        <w:instrText>HYPERLINK "https://sevadm.ru/administratsiya/strukturnye-podrazdeleniya-administratsii/upravlenie-ekonomiki-investitsiy-i-prognozirovaniya/otsenka-primeneniya-obyazatelnykh-trebovaniy/informatsionnye-materialy1/e-136770.html"</w:instrText>
      </w:r>
      <w:r>
        <w:rPr>
          <w:rStyle w:val="Style_5_ch"/>
          <w:rFonts w:ascii="Times New Roman" w:hAnsi="Times New Roman"/>
          <w:sz w:val="28"/>
        </w:rPr>
        <w:fldChar w:fldCharType="separate"/>
      </w:r>
      <w:r>
        <w:rPr>
          <w:rStyle w:val="Style_5_ch"/>
          <w:rFonts w:ascii="Times New Roman" w:hAnsi="Times New Roman"/>
          <w:sz w:val="28"/>
        </w:rPr>
        <w:t>https://sevadm.ru/administratsiya/strukturnye-podrazdeleniya-administratsii/upravlenie-ekonomiki-investitsiy-i-prognozirovaniya/otsenka-primeneniya-obyazatelnykh-trebovaniy/informatsionnye-materialy1/e-136770.html</w:t>
      </w:r>
      <w:r>
        <w:rPr>
          <w:rStyle w:val="Style_5_ch"/>
          <w:rFonts w:ascii="Times New Roman" w:hAnsi="Times New Roman"/>
          <w:sz w:val="28"/>
        </w:rPr>
        <w:fldChar w:fldCharType="end"/>
      </w:r>
      <w:r>
        <w:t xml:space="preserve"> </w:t>
      </w:r>
      <w:r>
        <w:rPr>
          <w:rFonts w:ascii="Times New Roman" w:hAnsi="Times New Roman"/>
          <w:sz w:val="28"/>
        </w:rPr>
        <w:t>.</w:t>
      </w:r>
    </w:p>
    <w:p w14:paraId="12000000">
      <w:pPr>
        <w:pStyle w:val="Style_3"/>
        <w:widowControl w:val="1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Разработчиком </w:t>
      </w:r>
      <w:r>
        <w:rPr>
          <w:rFonts w:ascii="Times New Roman" w:hAnsi="Times New Roman"/>
          <w:sz w:val="28"/>
        </w:rPr>
        <w:t xml:space="preserve">МНПА </w:t>
      </w:r>
      <w:r>
        <w:rPr>
          <w:rFonts w:ascii="Times New Roman" w:hAnsi="Times New Roman"/>
          <w:sz w:val="28"/>
        </w:rPr>
        <w:t xml:space="preserve">проведено публичное обсуждение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и отчета в срок с </w:t>
      </w:r>
      <w:r>
        <w:rPr>
          <w:rFonts w:ascii="Times New Roman" w:hAnsi="Times New Roman"/>
          <w:sz w:val="28"/>
        </w:rPr>
        <w:t xml:space="preserve">1 июня 2026 г. </w:t>
      </w:r>
      <w:r>
        <w:rPr>
          <w:rFonts w:ascii="Times New Roman" w:hAnsi="Times New Roman"/>
          <w:sz w:val="28"/>
        </w:rPr>
        <w:t xml:space="preserve">по </w:t>
      </w:r>
      <w:r>
        <w:rPr>
          <w:rFonts w:ascii="Times New Roman" w:hAnsi="Times New Roman"/>
          <w:sz w:val="28"/>
        </w:rPr>
        <w:t xml:space="preserve">30 июня </w:t>
      </w:r>
      <w:r>
        <w:rPr>
          <w:rFonts w:ascii="Times New Roman" w:hAnsi="Times New Roman"/>
          <w:sz w:val="28"/>
        </w:rPr>
        <w:t xml:space="preserve">2026 </w:t>
      </w:r>
      <w:r>
        <w:rPr>
          <w:rFonts w:ascii="Times New Roman" w:hAnsi="Times New Roman"/>
          <w:sz w:val="28"/>
        </w:rPr>
        <w:t xml:space="preserve">г. </w:t>
      </w:r>
    </w:p>
    <w:p w14:paraId="13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Уведомление о проведении публичного обсуждения было размещено на Интернет-портале, а также направлялось в </w:t>
      </w:r>
      <w:r>
        <w:rPr>
          <w:rFonts w:ascii="Times New Roman" w:hAnsi="Times New Roman"/>
          <w:sz w:val="28"/>
        </w:rPr>
        <w:t>адрес:</w:t>
      </w:r>
    </w:p>
    <w:p w14:paraId="14000000">
      <w:pPr>
        <w:pStyle w:val="Style_3"/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Уполномоченный по защите прав предпринимателей в Северском районе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лянский С.В</w:t>
      </w:r>
      <w:r>
        <w:rPr>
          <w:rFonts w:ascii="Times New Roman" w:hAnsi="Times New Roman"/>
          <w:sz w:val="28"/>
        </w:rPr>
        <w:t>.;</w:t>
      </w:r>
    </w:p>
    <w:p w14:paraId="15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Северская районная организация общероссийской общественной организации Профессионального союза работников агропромышленного комплекса Российской Федерации;</w:t>
      </w:r>
    </w:p>
    <w:p w14:paraId="16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Индивидуальный предприниматель Александр Иванович Предзиглей (председатель постоянной комиссии Совета муниципального образования Северский район по вопросам экономики и</w:t>
      </w:r>
      <w:r>
        <w:rPr>
          <w:rFonts w:ascii="Times New Roman" w:hAnsi="Times New Roman"/>
          <w:sz w:val="28"/>
        </w:rPr>
        <w:t xml:space="preserve"> бюджета, общественный деятель);</w:t>
      </w:r>
    </w:p>
    <w:p w14:paraId="17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Кунгурцев Михаил Александр</w:t>
      </w:r>
      <w:r>
        <w:rPr>
          <w:rFonts w:ascii="Times New Roman" w:hAnsi="Times New Roman"/>
          <w:sz w:val="28"/>
        </w:rPr>
        <w:t>ович, депутат Афипского городского поселения, общественный деятель, финалист краевого конкурса «Лидеры Кубани»</w:t>
      </w:r>
      <w:r>
        <w:rPr>
          <w:rFonts w:ascii="Times New Roman" w:hAnsi="Times New Roman"/>
          <w:sz w:val="28"/>
        </w:rPr>
        <w:t>;</w:t>
      </w:r>
    </w:p>
    <w:p w14:paraId="18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лауреат краевого конкурса «Лидеры Кубани» </w:t>
      </w:r>
      <w:r>
        <w:rPr>
          <w:rFonts w:ascii="Times New Roman" w:hAnsi="Times New Roman"/>
          <w:sz w:val="28"/>
        </w:rPr>
        <w:t>Пасечник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Евгений Геронтович;</w:t>
      </w:r>
    </w:p>
    <w:p w14:paraId="19000000">
      <w:pPr>
        <w:pStyle w:val="Style_3"/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Директор ООО «Кубаньэлектромаш»,</w:t>
      </w:r>
      <w:r>
        <w:rPr>
          <w:rFonts w:ascii="Times New Roman" w:hAnsi="Times New Roman"/>
          <w:sz w:val="28"/>
        </w:rPr>
        <w:t>Член совета директоров ассоциации производителей сельскохозяйственной техники и оборудования АПК Краснодарского края Резник Тимофей Олегович</w:t>
      </w:r>
      <w:r>
        <w:rPr>
          <w:rFonts w:ascii="Times New Roman" w:hAnsi="Times New Roman"/>
          <w:sz w:val="28"/>
        </w:rPr>
        <w:t>.</w:t>
      </w:r>
    </w:p>
    <w:p w14:paraId="1A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Координирующим органом проведен анализ свода предложений по итогам размещения отчета, в котором разработчиком МНПА представлены сведения об учете представленных в рамках публичного обсуждения замечаний и предложений.</w:t>
      </w:r>
      <w:r>
        <w:rPr>
          <w:rFonts w:ascii="Times New Roman" w:hAnsi="Times New Roman"/>
          <w:sz w:val="28"/>
        </w:rPr>
        <w:t xml:space="preserve"> </w:t>
      </w:r>
    </w:p>
    <w:p w14:paraId="1B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Замечания и предложения от участников публичного обсуждения не поступили.</w:t>
      </w:r>
    </w:p>
    <w:p w14:paraId="1C000000">
      <w:pPr>
        <w:pStyle w:val="Style_3"/>
        <w:widowControl w:val="1"/>
        <w:tabs>
          <w:tab w:leader="none" w:pos="8931" w:val="left"/>
        </w:tabs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 На основе проведенной оценки фактического воздействия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с учетом информации, представленной разработчиком </w:t>
      </w:r>
      <w:r>
        <w:rPr>
          <w:rFonts w:ascii="Times New Roman" w:hAnsi="Times New Roman"/>
          <w:sz w:val="28"/>
        </w:rPr>
        <w:t xml:space="preserve">МНПА </w:t>
      </w:r>
      <w:r>
        <w:rPr>
          <w:rFonts w:ascii="Times New Roman" w:hAnsi="Times New Roman"/>
          <w:sz w:val="28"/>
        </w:rPr>
        <w:t xml:space="preserve">в отчете, </w:t>
      </w:r>
      <w:r>
        <w:rPr>
          <w:rFonts w:ascii="Times New Roman" w:hAnsi="Times New Roman"/>
          <w:sz w:val="28"/>
        </w:rPr>
        <w:t xml:space="preserve">Координирующим </w:t>
      </w:r>
      <w:r>
        <w:rPr>
          <w:rFonts w:ascii="Times New Roman" w:hAnsi="Times New Roman"/>
          <w:sz w:val="28"/>
        </w:rPr>
        <w:t xml:space="preserve">органом </w:t>
      </w:r>
      <w:r>
        <w:rPr>
          <w:rFonts w:ascii="Times New Roman" w:hAnsi="Times New Roman"/>
          <w:sz w:val="28"/>
        </w:rPr>
        <w:t>сделаны следующие выводы:</w:t>
      </w:r>
    </w:p>
    <w:p w14:paraId="1D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аявленны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цел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регулирования</w:t>
      </w:r>
      <w:r>
        <w:rPr>
          <w:rFonts w:ascii="Times New Roman" w:hAnsi="Times New Roman"/>
          <w:sz w:val="28"/>
        </w:rPr>
        <w:t>, предусмотренного муниципальным нормативным правовым актом, достигнуты.</w:t>
      </w:r>
    </w:p>
    <w:p w14:paraId="1E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по данным отчета, целью введения регулирования, предусмотренного муниципальным нормативным правовым актом, </w:t>
      </w:r>
      <w:r>
        <w:rPr>
          <w:rFonts w:ascii="Times New Roman" w:hAnsi="Times New Roman"/>
          <w:sz w:val="28"/>
        </w:rPr>
        <w:t>являлось</w:t>
      </w:r>
      <w:r>
        <w:rPr>
          <w:rFonts w:ascii="Times New Roman" w:hAnsi="Times New Roman"/>
          <w:sz w:val="28"/>
        </w:rPr>
        <w:t xml:space="preserve"> регулирование деятельности розничной продажи алкогольной продукции при оказании услуг общественного питания, а именно </w:t>
      </w:r>
      <w:r>
        <w:rPr>
          <w:rFonts w:ascii="Times New Roman" w:hAnsi="Times New Roman"/>
          <w:sz w:val="28"/>
        </w:rPr>
        <w:t xml:space="preserve">определение границ прилегающих территорий  </w:t>
      </w:r>
      <w:r>
        <w:rPr>
          <w:rStyle w:val="Style_4_ch"/>
          <w:rFonts w:ascii="Times New Roman" w:hAnsi="Times New Roman"/>
          <w:color w:val="1A1A1A"/>
          <w:sz w:val="28"/>
        </w:rPr>
        <w:t>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 район  Краснодарского края.</w:t>
      </w:r>
    </w:p>
    <w:p w14:paraId="1F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Указанным регулированием введены обязательные требования, направленные на:</w:t>
      </w:r>
    </w:p>
    <w:p w14:paraId="20000000">
      <w:pPr>
        <w:pStyle w:val="Style_6"/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осуществление единой государственной политики в сфере продажи алкогольной продукции на территории Северского района, направленной, в первую очередь, на защиту интересов жизни и здоровья граждан, соблюдение их личных прав, гарантированных законодательством Российской Федерации; </w:t>
      </w:r>
    </w:p>
    <w:p w14:paraId="2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осуществление единой государственной политики в сфере продажи алкогольной продукции на территории Северского района, направленной, в первую очередь, на защиту интересов жизни и здоровья граждан, соблюдение их личных прав, гарантированных законодательством Российской Федерации; </w:t>
      </w:r>
      <w:r>
        <w:rPr>
          <w:rFonts w:ascii="Times New Roman" w:hAnsi="Times New Roman"/>
          <w:sz w:val="28"/>
        </w:rPr>
        <w:t xml:space="preserve"> </w:t>
      </w:r>
    </w:p>
    <w:p w14:paraId="22000000">
      <w:pPr>
        <w:pStyle w:val="Style_6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защиту санитарно-эпидемиологического благополучия населения Северского района, прав потребителей, благополучия человека на территории Северского района при осуществлении деятельности по розничной продаже алкогольной продукции при оказании услуг общественного питания</w:t>
      </w:r>
      <w:r>
        <w:rPr>
          <w:rFonts w:ascii="Times New Roman" w:hAnsi="Times New Roman"/>
          <w:sz w:val="28"/>
        </w:rPr>
        <w:t xml:space="preserve">. </w:t>
      </w:r>
    </w:p>
    <w:p w14:paraId="23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 принятия муниципального нормативного правового акта </w:t>
      </w:r>
      <w:r>
        <w:rPr>
          <w:rFonts w:ascii="Times New Roman" w:hAnsi="Times New Roman"/>
          <w:sz w:val="28"/>
        </w:rPr>
        <w:t>существ</w:t>
      </w:r>
      <w:r>
        <w:rPr>
          <w:rFonts w:ascii="Times New Roman" w:hAnsi="Times New Roman"/>
          <w:sz w:val="28"/>
        </w:rPr>
        <w:t>овали</w:t>
      </w:r>
      <w:r>
        <w:rPr>
          <w:rFonts w:ascii="Times New Roman" w:hAnsi="Times New Roman"/>
          <w:sz w:val="28"/>
        </w:rPr>
        <w:t xml:space="preserve"> следующие риски причинения вреда (ущерба) охраняемым законом ценностям:</w:t>
      </w:r>
    </w:p>
    <w:p w14:paraId="24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угроза </w:t>
      </w:r>
      <w:r>
        <w:rPr>
          <w:rFonts w:ascii="Times New Roman" w:hAnsi="Times New Roman"/>
          <w:sz w:val="28"/>
        </w:rPr>
        <w:t>причинени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вреда жизни и здоровью граждан</w:t>
      </w:r>
      <w:r>
        <w:rPr>
          <w:rFonts w:ascii="Times New Roman" w:hAnsi="Times New Roman"/>
          <w:sz w:val="28"/>
        </w:rPr>
        <w:t>, связанного с негативным влиянием алкогольной продукции на здоровье человека;</w:t>
      </w:r>
    </w:p>
    <w:p w14:paraId="25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sz w:val="28"/>
        </w:rPr>
        <w:t>нарушение требований санитарно-эпидемиологического благополучия населения Северского района;</w:t>
      </w:r>
    </w:p>
    <w:p w14:paraId="26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color w:val="1A1A1A"/>
          <w:sz w:val="28"/>
        </w:rPr>
        <w:t>нарушение общественного порядка в кафе, барах и прочих объектах, реализующих алкогольную продукцию, находящихся на прилегающих к многоквартирным домам территориях, во дворах и детских площадках, что приводит к нарушению прав граждан на отдых, ухудшает условия их проживания, подвер</w:t>
      </w:r>
      <w:r>
        <w:rPr>
          <w:rFonts w:ascii="Times New Roman" w:hAnsi="Times New Roman"/>
          <w:color w:val="1A1A1A"/>
          <w:sz w:val="28"/>
        </w:rPr>
        <w:t>гает опасности жизнь и здоровье.</w:t>
      </w:r>
    </w:p>
    <w:p w14:paraId="27000000">
      <w:pPr>
        <w:pStyle w:val="Style_6"/>
        <w:widowControl w:val="1"/>
        <w:ind w:firstLine="567"/>
        <w:jc w:val="both"/>
        <w:rPr>
          <w:sz w:val="28"/>
        </w:rPr>
      </w:pPr>
      <w:r>
        <w:rPr>
          <w:sz w:val="28"/>
        </w:rPr>
        <w:t xml:space="preserve">Главными причинами и факторами, которые приводили к вышеуказанным негативным эффектам являлись: </w:t>
      </w:r>
    </w:p>
    <w:p w14:paraId="28000000">
      <w:pPr>
        <w:pStyle w:val="Style_6"/>
        <w:widowControl w:val="1"/>
        <w:ind w:firstLine="567"/>
        <w:jc w:val="both"/>
        <w:rPr>
          <w:sz w:val="28"/>
        </w:rPr>
      </w:pPr>
      <w:r>
        <w:rPr>
          <w:sz w:val="28"/>
        </w:rPr>
        <w:t xml:space="preserve">отсутствие законодательно закрепленных ограничений и запретов в сфере розничной продажи алкогольной продукции при оказании услуг общественного питания в муниципальном образовании Северский муниципальный район Краснодарского края; </w:t>
      </w:r>
    </w:p>
    <w:p w14:paraId="29000000">
      <w:pPr>
        <w:pStyle w:val="Style_6"/>
        <w:widowControl w:val="1"/>
        <w:ind w:firstLine="567"/>
        <w:jc w:val="both"/>
        <w:rPr>
          <w:sz w:val="28"/>
        </w:rPr>
      </w:pPr>
      <w:r>
        <w:rPr>
          <w:sz w:val="28"/>
        </w:rPr>
        <w:t>невозможность привлечения к административной ответственности за нарушение особых требований и правил розничной продажи алкогольной и спиртосодержащей продукции, предусмотренной частью 3 статьи 14.16 Кодекса Российской Федерации об административных правонарушениях (далее – КоАП РФ).</w:t>
      </w:r>
    </w:p>
    <w:p w14:paraId="2A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Установление оцениваемых обязательных требований было направлено на снижение рисков причинения вреда (снижение объемов причиненного вреда) жизни и здоровью граждан посредством определения границ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в объектах общественного питания.</w:t>
      </w:r>
    </w:p>
    <w:p w14:paraId="2B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МНПА создает условия для обеспечения общественного порядка, защиты прав граждан на тишину, отдых в местах их непосредственного проживания, обеспечивает комфортное проживание граждан в многоквартирных домах, на прилегающих территориях которых располагаются объекты общественного питания, реализующие алкогольную продукцию, улучшает условия их проживания.</w:t>
      </w:r>
      <w:r>
        <w:rPr>
          <w:rFonts w:ascii="Times New Roman" w:hAnsi="Times New Roman"/>
          <w:sz w:val="28"/>
        </w:rPr>
        <w:t xml:space="preserve"> </w:t>
      </w:r>
    </w:p>
    <w:p w14:paraId="2C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муниципального нормативного правового акта привело к следующим результатам:</w:t>
      </w:r>
    </w:p>
    <w:p w14:paraId="2D000000">
      <w:pPr>
        <w:pStyle w:val="Style_7"/>
        <w:widowControl w:val="1"/>
        <w:numPr>
          <w:ilvl w:val="0"/>
          <w:numId w:val="1"/>
        </w:numPr>
        <w:tabs>
          <w:tab w:leader="none" w:pos="851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части применения введенного регулирования:</w:t>
      </w:r>
    </w:p>
    <w:p w14:paraId="2E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отенциальн</w:t>
      </w:r>
      <w:r>
        <w:rPr>
          <w:rFonts w:ascii="Times New Roman" w:hAnsi="Times New Roman"/>
          <w:sz w:val="28"/>
        </w:rPr>
        <w:t xml:space="preserve">ой группой участников общественных отношений, интересы которых затронуты правовым регулированием, являются </w:t>
      </w:r>
      <w:r>
        <w:rPr>
          <w:rFonts w:ascii="Times New Roman" w:hAnsi="Times New Roman"/>
          <w:sz w:val="28"/>
        </w:rPr>
        <w:t xml:space="preserve">субъекты предпринимательской деятельности, осуществляющие розничную продажу алкогольной продукции при оказании услуг общественного питания. </w:t>
      </w:r>
      <w:r>
        <w:rPr>
          <w:rFonts w:ascii="Times New Roman" w:hAnsi="Times New Roman"/>
          <w:sz w:val="28"/>
        </w:rPr>
        <w:t xml:space="preserve"> </w:t>
      </w:r>
    </w:p>
    <w:p w14:paraId="2F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территории муниципального образования Северский муниципальный район Краснодарского края отсутствуют субъекты, попадающие под введенные ограничения.</w:t>
      </w:r>
    </w:p>
    <w:p w14:paraId="30000000">
      <w:pPr>
        <w:widowControl w:val="1"/>
        <w:spacing w:after="0" w:line="288" w:lineRule="atLeast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частью 7 статьи 4(1)  Закона Краснодарского края от 4 июня 2012 г. № 2497-КЗ «Об установлении ограничений в сфере розничной продажи алкогольной продукции и безалкогольных тонизирующих напитков» (далее – Закон № 2497-КЗ) оценка соблюдения ограничений, установленных частями 1-6 статьи 4(1) Закона № 2497-КЗ, осуществляется в рамках регионального государственного контроля (надзора) в области розничной продажи алкогольной и спиртосодержащей продукции на территории Краснодарского края органом исполнительной власти Краснодарского края, уполномоченным Губернатором Краснодарского края осуществлять региональный государственный контроль (надзор) в области розничной продажи алкогольной и спиртосодержащей продукции на территории Краснодарского края – департаментом потребительской сферы и регулирования рынка алкоголя Краснодарского края.</w:t>
      </w:r>
    </w:p>
    <w:p w14:paraId="3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информации разработчика, представленной в отчете, правовое регулирование не влечет дополнительные расходы (доходы) потенциальных адресатов регулирования.</w:t>
      </w:r>
    </w:p>
    <w:p w14:paraId="32000000">
      <w:pPr>
        <w:pStyle w:val="Style_8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этом, МНПА содержит положения, устанавливающие ограничение розничной продажи алкогольной продукции при оказании услуг общественного питания в объектах общественного питания, расположенных в многоквартирных домах и на прилегающих территориях, путем определения границ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на территории муниципального образования Северский муниципальный район Краснодарского края. </w:t>
      </w:r>
    </w:p>
    <w:p w14:paraId="33000000">
      <w:pPr>
        <w:pStyle w:val="Style_8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МНПА может повлечь для субъектов предпринимательской деятельности возникновение издержек в виде упущенной выгоды (недополученного дохода), связанного с невозможностью продажи алкогольной продукции при оказании услуг общественного питания. </w:t>
      </w:r>
    </w:p>
    <w:p w14:paraId="34000000">
      <w:pPr>
        <w:pStyle w:val="Style_8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Дать количественную оценку упущенным выгодам и доходам</w:t>
      </w:r>
      <w:r>
        <w:rPr>
          <w:rFonts w:ascii="Times New Roman" w:hAnsi="Times New Roman"/>
          <w:sz w:val="28"/>
        </w:rPr>
        <w:t>, по мнению разработчика МНПА,</w:t>
      </w:r>
      <w:r>
        <w:rPr>
          <w:rFonts w:ascii="Times New Roman" w:hAnsi="Times New Roman"/>
          <w:sz w:val="28"/>
        </w:rPr>
        <w:t xml:space="preserve"> не представляется возможным в виду того, что доход различный в зависимости от объема и вида реализуемой алкогольной продукции, а также расходов на обеспечение деятельности предприятий общественного питания, которые предполагаются различными.</w:t>
      </w:r>
    </w:p>
    <w:p w14:paraId="35000000">
      <w:pPr>
        <w:widowControl w:val="1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момент составления отчета лица </w:t>
      </w:r>
      <w:r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 xml:space="preserve">административной </w:t>
      </w:r>
      <w:r>
        <w:rPr>
          <w:rFonts w:ascii="Times New Roman" w:hAnsi="Times New Roman"/>
          <w:sz w:val="28"/>
        </w:rPr>
        <w:t>ответственности за нарушение установленных муниципальным нормативным правовым актом обязательных требований не привлекались.</w:t>
      </w:r>
    </w:p>
    <w:p w14:paraId="36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>В части влияния на условия ведения экономической деятельности для субъектов предпринима</w:t>
      </w:r>
      <w:r>
        <w:rPr>
          <w:rFonts w:ascii="Times New Roman" w:hAnsi="Times New Roman"/>
          <w:sz w:val="28"/>
        </w:rPr>
        <w:t>тельской и иной экономической деятельности установлен</w:t>
      </w: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обязанность соблюдени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субъектами регулирования обязательных требований, установленных муниципальным нормативным правовым актом, в полном объеме.</w:t>
      </w:r>
    </w:p>
    <w:p w14:paraId="37000000">
      <w:pPr>
        <w:widowControl w:val="0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Ограничения направлены на системное урегулирование вопросов осуществления деятельности в сфере розничной продажи алкогольной продукции, с учетом создания благоприятных условий для проживания граждан, а также соответству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т принципам и целям государственного регулирования в сфере потребления алкогольной продукции, утвержденным </w:t>
      </w:r>
      <w:r>
        <w:rPr>
          <w:rFonts w:ascii="Times New Roman" w:hAnsi="Times New Roman"/>
          <w:sz w:val="28"/>
        </w:rPr>
        <w:t>Распоряжением Правительства РФ от 11 декабря 2023 г. № 3547-р «</w:t>
      </w:r>
      <w:r>
        <w:rPr>
          <w:rFonts w:ascii="Times New Roman" w:hAnsi="Times New Roman"/>
          <w:sz w:val="28"/>
        </w:rPr>
        <w:t>Об утверждении Концепции сокращения потребления алкоголя в Российской Федерации на период до 2030 года и на дальнейшую перспективу», направленным на приоритет интересов общественного здоровья, защиту граждан от рисков, связанных с потреблением алкоголя.</w:t>
      </w:r>
    </w:p>
    <w:p w14:paraId="38000000">
      <w:pPr>
        <w:widowControl w:val="1"/>
        <w:tabs>
          <w:tab w:leader="none" w:pos="851" w:val="left"/>
        </w:tabs>
        <w:spacing w:after="0" w:line="240" w:lineRule="auto"/>
        <w:ind w:firstLine="567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sz w:val="28"/>
        </w:rPr>
        <w:t xml:space="preserve">На основании изложенного, координирующий орган поддерживает вывод разработчика МНПА о том, что цели введения </w:t>
      </w:r>
      <w:r>
        <w:rPr>
          <w:rFonts w:ascii="Times New Roman" w:hAnsi="Times New Roman"/>
          <w:sz w:val="28"/>
        </w:rPr>
        <w:t>оцениваемых обязательных требований в полной мере достигнут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и предложение о дальнейшем применении</w:t>
      </w:r>
      <w:r>
        <w:rPr>
          <w:rFonts w:ascii="Times New Roman" w:hAnsi="Times New Roman"/>
          <w:sz w:val="28"/>
        </w:rPr>
        <w:t xml:space="preserve"> оцениваемых обязательных требований </w:t>
      </w:r>
      <w:r>
        <w:rPr>
          <w:rFonts w:ascii="Times New Roman" w:hAnsi="Times New Roman"/>
          <w:sz w:val="28"/>
        </w:rPr>
        <w:t xml:space="preserve">с установлением срока действия – 6 </w:t>
      </w:r>
      <w:r>
        <w:rPr>
          <w:rFonts w:ascii="Times New Roman" w:hAnsi="Times New Roman"/>
          <w:sz w:val="28"/>
        </w:rPr>
        <w:t>лет в соответствии с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решени</w:t>
      </w:r>
      <w:r>
        <w:rPr>
          <w:rFonts w:ascii="Times New Roman" w:hAnsi="Times New Roman"/>
          <w:sz w:val="28"/>
        </w:rPr>
        <w:t xml:space="preserve">ем </w:t>
      </w:r>
      <w:r>
        <w:rPr>
          <w:rFonts w:ascii="Times New Roman" w:hAnsi="Times New Roman"/>
          <w:sz w:val="28"/>
        </w:rPr>
        <w:t xml:space="preserve">Совета муниципального образования </w:t>
      </w:r>
      <w:r>
        <w:rPr>
          <w:rFonts w:ascii="Times New Roman" w:hAnsi="Times New Roman"/>
          <w:sz w:val="28"/>
        </w:rPr>
        <w:t>Северский муниципальный</w:t>
      </w:r>
      <w:r>
        <w:rPr>
          <w:rFonts w:ascii="Times New Roman" w:hAnsi="Times New Roman"/>
          <w:sz w:val="28"/>
        </w:rPr>
        <w:t xml:space="preserve"> район Краснодарского края от 28 августа 2025 года № 609 «</w:t>
      </w:r>
      <w:r>
        <w:rPr>
          <w:rFonts w:ascii="Times New Roman" w:hAnsi="Times New Roman"/>
          <w:b w:val="0"/>
          <w:sz w:val="28"/>
        </w:rPr>
        <w:t>О Порядке установления обязательных требований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 о порядке оценки применения обязательных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требований, содержащихся в муниципальных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нормативных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правовых актах муниципального образования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Северский муниципальный райо</w:t>
      </w:r>
      <w:r>
        <w:rPr>
          <w:rFonts w:ascii="Times New Roman" w:hAnsi="Times New Roman"/>
          <w:b w:val="0"/>
          <w:sz w:val="28"/>
        </w:rPr>
        <w:t>н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Краснодарского края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(далее – Решение Совета № 609)</w:t>
      </w:r>
      <w:r>
        <w:rPr>
          <w:rFonts w:ascii="Times New Roman" w:hAnsi="Times New Roman"/>
          <w:sz w:val="28"/>
        </w:rPr>
        <w:t>.</w:t>
      </w:r>
    </w:p>
    <w:p w14:paraId="39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4.2. </w:t>
      </w:r>
      <w:r>
        <w:rPr>
          <w:rFonts w:ascii="Times New Roman" w:hAnsi="Times New Roman"/>
          <w:sz w:val="28"/>
        </w:rPr>
        <w:t xml:space="preserve">Согласно данным отчета </w:t>
      </w:r>
      <w:r>
        <w:rPr>
          <w:rFonts w:ascii="Times New Roman" w:hAnsi="Times New Roman"/>
          <w:sz w:val="28"/>
        </w:rPr>
        <w:t>фактически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 положительны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 последстви</w:t>
      </w:r>
      <w:r>
        <w:rPr>
          <w:rFonts w:ascii="Times New Roman" w:hAnsi="Times New Roman"/>
          <w:sz w:val="28"/>
        </w:rPr>
        <w:t xml:space="preserve">ем </w:t>
      </w:r>
      <w:r>
        <w:rPr>
          <w:rFonts w:ascii="Times New Roman" w:hAnsi="Times New Roman"/>
          <w:sz w:val="28"/>
        </w:rPr>
        <w:t xml:space="preserve">принятия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>нормативного правового акта</w:t>
      </w:r>
      <w:r>
        <w:rPr>
          <w:rFonts w:ascii="Times New Roman" w:hAnsi="Times New Roman"/>
          <w:sz w:val="28"/>
        </w:rPr>
        <w:t xml:space="preserve"> является отсутствие фактов привлечения к административной ответственности адресатов регулирования, что подразумевает:</w:t>
      </w:r>
    </w:p>
    <w:p w14:paraId="3A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ктуальность</w:t>
      </w:r>
      <w:r>
        <w:rPr>
          <w:rFonts w:ascii="Times New Roman" w:hAnsi="Times New Roman"/>
          <w:sz w:val="28"/>
        </w:rPr>
        <w:t xml:space="preserve"> обязательных требований, установленных муниципальным нормативным правовым актом;</w:t>
      </w:r>
    </w:p>
    <w:p w14:paraId="3B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соблюдение субъектами регулирования обязательных требований, установленных муниципальным нормативным правовым актом, в полном объеме;</w:t>
      </w:r>
    </w:p>
    <w:p w14:paraId="3C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проблем с пониманием содержания оцениваемых обязательных требований субъектами регулирования и правоприменительными органами;</w:t>
      </w:r>
    </w:p>
    <w:p w14:paraId="3D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исполнимость обязательных требований (их соблюдение не приводит к невозможности исполнения других обязательных требований).  </w:t>
      </w:r>
    </w:p>
    <w:p w14:paraId="3E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Фактические отрицательные последствия принятия муниципального нормативного правового акта связаны с фактом наличия обязательных требований в </w:t>
      </w:r>
      <w:r>
        <w:rPr>
          <w:rFonts w:ascii="Times New Roman" w:hAnsi="Times New Roman"/>
          <w:sz w:val="28"/>
        </w:rPr>
        <w:t>анализируемой сфере и в случае их несоблюдения субъектами регулирования - несением затрат на оплату административного штрафа.</w:t>
      </w:r>
    </w:p>
    <w:p w14:paraId="3F000000">
      <w:pPr>
        <w:pStyle w:val="Style_6"/>
        <w:widowControl w:val="1"/>
        <w:ind w:firstLine="708"/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>3</w:t>
      </w:r>
      <w:r>
        <w:rPr>
          <w:sz w:val="28"/>
        </w:rPr>
        <w:t>.</w:t>
      </w:r>
      <w:r>
        <w:rPr>
          <w:sz w:val="28"/>
        </w:rPr>
        <w:t> </w:t>
      </w:r>
      <w:r>
        <w:rPr>
          <w:sz w:val="28"/>
        </w:rPr>
        <w:t xml:space="preserve">В муниципальном нормативном правовом акте не выявлены положения, содержащие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предпринимательской и инвестиционной деятельности. </w:t>
      </w:r>
    </w:p>
    <w:p w14:paraId="40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4.4. </w:t>
      </w:r>
      <w:r>
        <w:rPr>
          <w:rFonts w:ascii="Times New Roman" w:hAnsi="Times New Roman"/>
          <w:sz w:val="28"/>
        </w:rPr>
        <w:t xml:space="preserve">Установленные муниципальным нормативным правовым актом </w:t>
      </w:r>
      <w:r>
        <w:rPr>
          <w:rFonts w:ascii="Times New Roman" w:hAnsi="Times New Roman"/>
          <w:sz w:val="28"/>
        </w:rPr>
        <w:t>обязательны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требовани</w:t>
      </w:r>
      <w:r>
        <w:rPr>
          <w:rFonts w:ascii="Times New Roman" w:hAnsi="Times New Roman"/>
          <w:sz w:val="28"/>
        </w:rPr>
        <w:t xml:space="preserve">я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соответствуют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принципам, установленным Федеральным законом от 31 июля 2020 г. № 247-ФЗ «Об обязательных требованиях в Российской Федерации» </w:t>
      </w:r>
      <w:r>
        <w:rPr>
          <w:rFonts w:ascii="Times New Roman" w:hAnsi="Times New Roman"/>
          <w:sz w:val="28"/>
        </w:rPr>
        <w:t xml:space="preserve">(далее – Федеральный закон № 247-ФЗ) </w:t>
      </w:r>
      <w:r>
        <w:rPr>
          <w:rFonts w:ascii="Times New Roman" w:hAnsi="Times New Roman"/>
          <w:sz w:val="28"/>
        </w:rPr>
        <w:t>и положени</w:t>
      </w:r>
      <w:r>
        <w:rPr>
          <w:rFonts w:ascii="Times New Roman" w:hAnsi="Times New Roman"/>
          <w:sz w:val="28"/>
        </w:rPr>
        <w:t>ем</w:t>
      </w:r>
      <w:r>
        <w:rPr>
          <w:rFonts w:ascii="Times New Roman" w:hAnsi="Times New Roman"/>
          <w:sz w:val="28"/>
        </w:rPr>
        <w:t xml:space="preserve"> Решения Совета </w:t>
      </w:r>
      <w:r>
        <w:rPr>
          <w:rFonts w:ascii="Times New Roman" w:hAnsi="Times New Roman"/>
          <w:sz w:val="28"/>
        </w:rPr>
        <w:t>№ 609.</w:t>
      </w:r>
    </w:p>
    <w:p w14:paraId="41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4.5. </w:t>
      </w:r>
      <w:r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</w:rPr>
        <w:t>оценки фактического воздействия муниципального нормативного правового акта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координирующий орган</w:t>
      </w:r>
      <w:r>
        <w:rPr>
          <w:rFonts w:ascii="Times New Roman" w:hAnsi="Times New Roman"/>
          <w:sz w:val="28"/>
        </w:rPr>
        <w:t>:</w:t>
      </w:r>
    </w:p>
    <w:p w14:paraId="42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sz w:val="28"/>
        </w:rPr>
        <w:t xml:space="preserve">поддерживает предложение разработчика </w:t>
      </w:r>
      <w:r>
        <w:rPr>
          <w:rFonts w:ascii="Times New Roman" w:hAnsi="Times New Roman"/>
          <w:sz w:val="28"/>
        </w:rPr>
        <w:t xml:space="preserve">МНПА </w:t>
      </w:r>
      <w:r>
        <w:rPr>
          <w:rFonts w:ascii="Times New Roman" w:hAnsi="Times New Roman"/>
          <w:sz w:val="28"/>
        </w:rPr>
        <w:t xml:space="preserve">о сохранении действия муниципального нормативного правового </w:t>
      </w:r>
      <w:r>
        <w:rPr>
          <w:rFonts w:ascii="Times New Roman" w:hAnsi="Times New Roman"/>
          <w:sz w:val="28"/>
        </w:rPr>
        <w:t>акта.</w:t>
      </w:r>
    </w:p>
    <w:p w14:paraId="43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44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45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14:paraId="46000000">
      <w:pPr>
        <w:pStyle w:val="Style_3"/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47000000">
      <w:pPr>
        <w:pStyle w:val="Style_8"/>
        <w:widowControl w:val="1"/>
        <w:ind/>
        <w:jc w:val="both"/>
        <w:rPr>
          <w:rFonts w:ascii="Times New Roman" w:hAnsi="Times New Roman"/>
          <w:sz w:val="28"/>
        </w:rPr>
      </w:pPr>
      <w:bookmarkStart w:id="2" w:name="Par123"/>
      <w:bookmarkEnd w:id="2"/>
      <w:bookmarkStart w:id="3" w:name="Par138"/>
      <w:bookmarkEnd w:id="3"/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чальник управления </w:t>
      </w:r>
      <w:r>
        <w:rPr>
          <w:rFonts w:ascii="Times New Roman" w:hAnsi="Times New Roman"/>
          <w:sz w:val="28"/>
        </w:rPr>
        <w:t xml:space="preserve">экономики, </w:t>
      </w:r>
    </w:p>
    <w:p w14:paraId="48000000">
      <w:pPr>
        <w:pStyle w:val="Style_8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инвестиций и прогнозирования</w:t>
      </w:r>
    </w:p>
    <w:p w14:paraId="49000000">
      <w:pPr>
        <w:pStyle w:val="Style_8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муниципального</w:t>
      </w:r>
    </w:p>
    <w:p w14:paraId="4A000000">
      <w:pPr>
        <w:pStyle w:val="Style_8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 Северский муниципальный</w:t>
      </w:r>
    </w:p>
    <w:p w14:paraId="4B000000">
      <w:pPr>
        <w:pStyle w:val="Style_8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район Краснодарского края                                                             </w:t>
      </w:r>
      <w:r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 xml:space="preserve">С.А. Мартынов </w:t>
      </w:r>
    </w:p>
    <w:sectPr>
      <w:headerReference r:id="rId1" w:type="default"/>
      <w:headerReference r:id="rId5" w:type="first"/>
      <w:headerReference r:id="rId3" w:type="even"/>
      <w:footerReference r:id="rId2" w:type="default"/>
      <w:footerReference r:id="rId6" w:type="first"/>
      <w:footerReference r:id="rId4" w:type="even"/>
      <w:pgSz w:h="16838" w:orient="portrait" w:w="11905"/>
      <w:pgMar w:bottom="709" w:footer="720" w:gutter="0" w:header="720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widowControl w:val="1"/>
        <w:ind w:hanging="360" w:left="927"/>
      </w:pPr>
    </w:lvl>
    <w:lvl w:ilvl="1">
      <w:start w:val="1"/>
      <w:numFmt w:val="lowerLetter"/>
      <w:lvlText w:val="%2."/>
      <w:lvlJc w:val="left"/>
      <w:pPr>
        <w:widowControl w:val="1"/>
        <w:ind w:hanging="360" w:left="1647"/>
      </w:pPr>
    </w:lvl>
    <w:lvl w:ilvl="2">
      <w:start w:val="1"/>
      <w:numFmt w:val="lowerRoman"/>
      <w:lvlText w:val="%3."/>
      <w:lvlJc w:val="right"/>
      <w:pPr>
        <w:widowControl w:val="1"/>
        <w:ind w:hanging="180" w:left="2367"/>
      </w:pPr>
    </w:lvl>
    <w:lvl w:ilvl="3">
      <w:start w:val="1"/>
      <w:numFmt w:val="decimal"/>
      <w:lvlText w:val="%4."/>
      <w:lvlJc w:val="left"/>
      <w:pPr>
        <w:widowControl w:val="1"/>
        <w:ind w:hanging="360" w:left="3087"/>
      </w:pPr>
    </w:lvl>
    <w:lvl w:ilvl="4">
      <w:start w:val="1"/>
      <w:numFmt w:val="lowerLetter"/>
      <w:lvlText w:val="%5."/>
      <w:lvlJc w:val="left"/>
      <w:pPr>
        <w:widowControl w:val="1"/>
        <w:ind w:hanging="360" w:left="3807"/>
      </w:pPr>
    </w:lvl>
    <w:lvl w:ilvl="5">
      <w:start w:val="1"/>
      <w:numFmt w:val="lowerRoman"/>
      <w:lvlText w:val="%6."/>
      <w:lvlJc w:val="right"/>
      <w:pPr>
        <w:widowControl w:val="1"/>
        <w:ind w:hanging="180" w:left="4527"/>
      </w:pPr>
    </w:lvl>
    <w:lvl w:ilvl="6">
      <w:start w:val="1"/>
      <w:numFmt w:val="decimal"/>
      <w:lvlText w:val="%7."/>
      <w:lvlJc w:val="left"/>
      <w:pPr>
        <w:widowControl w:val="1"/>
        <w:ind w:hanging="360" w:left="5247"/>
      </w:pPr>
    </w:lvl>
    <w:lvl w:ilvl="7">
      <w:start w:val="1"/>
      <w:numFmt w:val="lowerLetter"/>
      <w:lvlText w:val="%8."/>
      <w:lvlJc w:val="left"/>
      <w:pPr>
        <w:widowControl w:val="1"/>
        <w:ind w:hanging="360" w:left="5967"/>
      </w:pPr>
    </w:lvl>
    <w:lvl w:ilvl="8">
      <w:start w:val="1"/>
      <w:numFmt w:val="lowerRoman"/>
      <w:lvlText w:val="%9."/>
      <w:lvlJc w:val="right"/>
      <w:pPr>
        <w:widowControl w:val="1"/>
        <w:ind w:hanging="180" w:left="6687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9" w:type="paragraph">
    <w:name w:val="toc 2"/>
    <w:next w:val="Style_4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4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7" w:type="paragraph">
    <w:name w:val="List Paragraph"/>
    <w:basedOn w:val="Style_4"/>
    <w:link w:val="Style_7_ch"/>
    <w:pPr>
      <w:widowControl w:val="1"/>
      <w:ind w:left="720"/>
      <w:contextualSpacing w:val="1"/>
    </w:pPr>
  </w:style>
  <w:style w:styleId="Style_7_ch" w:type="character">
    <w:name w:val="List Paragraph"/>
    <w:basedOn w:val="Style_4_ch"/>
    <w:link w:val="Style_7"/>
  </w:style>
  <w:style w:styleId="Style_11" w:type="paragraph">
    <w:name w:val="toc 6"/>
    <w:next w:val="Style_4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4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4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ConsPlusCell"/>
    <w:link w:val="Style_15_ch"/>
    <w:pPr>
      <w:widowControl w:val="0"/>
      <w:spacing w:after="0" w:line="240" w:lineRule="auto"/>
      <w:ind/>
    </w:pPr>
    <w:rPr>
      <w:rFonts w:ascii="Calibri" w:hAnsi="Calibri"/>
    </w:rPr>
  </w:style>
  <w:style w:styleId="Style_15_ch" w:type="character">
    <w:name w:val="ConsPlusCell"/>
    <w:link w:val="Style_15"/>
    <w:rPr>
      <w:rFonts w:ascii="Calibri" w:hAnsi="Calibri"/>
    </w:rPr>
  </w:style>
  <w:style w:styleId="Style_3" w:type="paragraph">
    <w:name w:val="ConsPlusNonformat"/>
    <w:link w:val="Style_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_ch" w:type="character">
    <w:name w:val="ConsPlusNonformat"/>
    <w:link w:val="Style_3"/>
    <w:rPr>
      <w:rFonts w:ascii="Courier New" w:hAnsi="Courier New"/>
      <w:sz w:val="20"/>
    </w:rPr>
  </w:style>
  <w:style w:styleId="Style_16" w:type="paragraph">
    <w:name w:val="Гипертекстовая ссылка"/>
    <w:basedOn w:val="Style_17"/>
    <w:link w:val="Style_16_ch"/>
    <w:rPr>
      <w:b w:val="0"/>
      <w:color w:val="106BBE"/>
    </w:rPr>
  </w:style>
  <w:style w:styleId="Style_16_ch" w:type="character">
    <w:name w:val="Гипертекстовая ссылка"/>
    <w:basedOn w:val="Style_17_ch"/>
    <w:link w:val="Style_16"/>
    <w:rPr>
      <w:b w:val="0"/>
      <w:color w:val="106BBE"/>
    </w:rPr>
  </w:style>
  <w:style w:styleId="Style_18" w:type="paragraph">
    <w:name w:val="Основной текст Знак1"/>
    <w:basedOn w:val="Style_17"/>
    <w:link w:val="Style_18_ch"/>
    <w:rPr>
      <w:rFonts w:ascii="Times New Roman" w:hAnsi="Times New Roman"/>
      <w:spacing w:val="1"/>
      <w:sz w:val="25"/>
      <w:highlight w:val="white"/>
    </w:rPr>
  </w:style>
  <w:style w:styleId="Style_18_ch" w:type="character">
    <w:name w:val="Основной текст Знак1"/>
    <w:basedOn w:val="Style_17_ch"/>
    <w:link w:val="Style_18"/>
    <w:rPr>
      <w:rFonts w:ascii="Times New Roman" w:hAnsi="Times New Roman"/>
      <w:spacing w:val="1"/>
      <w:sz w:val="25"/>
      <w:highlight w:val="white"/>
    </w:rPr>
  </w:style>
  <w:style w:styleId="Style_19" w:type="paragraph">
    <w:name w:val="toc 3"/>
    <w:next w:val="Style_4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" w:type="paragraph">
    <w:name w:val="footer"/>
    <w:basedOn w:val="Style_4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4_ch"/>
    <w:link w:val="Style_2"/>
  </w:style>
  <w:style w:styleId="Style_6" w:type="paragraph">
    <w:name w:val="Default"/>
    <w:link w:val="Style_6_ch"/>
    <w:pPr>
      <w:widowControl w:val="1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6_ch" w:type="character">
    <w:name w:val="Default"/>
    <w:link w:val="Style_6"/>
    <w:rPr>
      <w:rFonts w:ascii="Times New Roman" w:hAnsi="Times New Roman"/>
      <w:color w:val="000000"/>
      <w:sz w:val="24"/>
    </w:rPr>
  </w:style>
  <w:style w:styleId="Style_20" w:type="paragraph">
    <w:name w:val="Body Text"/>
    <w:basedOn w:val="Style_4"/>
    <w:link w:val="Style_20_ch"/>
    <w:pPr>
      <w:widowControl w:val="1"/>
      <w:spacing w:after="120"/>
      <w:ind/>
    </w:pPr>
  </w:style>
  <w:style w:styleId="Style_20_ch" w:type="character">
    <w:name w:val="Body Text"/>
    <w:basedOn w:val="Style_4_ch"/>
    <w:link w:val="Style_20"/>
  </w:style>
  <w:style w:styleId="Style_21" w:type="paragraph">
    <w:name w:val="heading 5"/>
    <w:next w:val="Style_4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heading 1"/>
    <w:next w:val="Style_4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8" w:type="paragraph">
    <w:name w:val="ConsPlusNormal"/>
    <w:link w:val="Style_8_ch"/>
    <w:pPr>
      <w:widowControl w:val="0"/>
      <w:spacing w:after="0" w:line="240" w:lineRule="auto"/>
      <w:ind/>
    </w:pPr>
    <w:rPr>
      <w:rFonts w:ascii="Calibri" w:hAnsi="Calibri"/>
    </w:rPr>
  </w:style>
  <w:style w:styleId="Style_8_ch" w:type="character">
    <w:name w:val="ConsPlusNormal"/>
    <w:link w:val="Style_8"/>
    <w:rPr>
      <w:rFonts w:ascii="Calibri" w:hAnsi="Calibri"/>
    </w:rPr>
  </w:style>
  <w:style w:styleId="Style_5" w:type="paragraph">
    <w:name w:val="Hyperlink"/>
    <w:basedOn w:val="Style_17"/>
    <w:link w:val="Style_5_ch"/>
    <w:rPr>
      <w:color w:themeColor="hyperlink" w:val="0000FF"/>
      <w:u w:val="single"/>
    </w:rPr>
  </w:style>
  <w:style w:styleId="Style_5_ch" w:type="character">
    <w:name w:val="Hyperlink"/>
    <w:basedOn w:val="Style_17_ch"/>
    <w:link w:val="Style_5"/>
    <w:rPr>
      <w:color w:themeColor="hyperlink"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4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ConsPlusTitle"/>
    <w:link w:val="Style_26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26_ch" w:type="character">
    <w:name w:val="ConsPlusTitle"/>
    <w:link w:val="Style_26"/>
    <w:rPr>
      <w:rFonts w:ascii="Calibri" w:hAnsi="Calibri"/>
      <w:b w:val="1"/>
    </w:rPr>
  </w:style>
  <w:style w:styleId="Style_27" w:type="paragraph">
    <w:name w:val="toc 9"/>
    <w:next w:val="Style_4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Balloon Text"/>
    <w:basedOn w:val="Style_4"/>
    <w:link w:val="Style_28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8_ch" w:type="character">
    <w:name w:val="Balloon Text"/>
    <w:basedOn w:val="Style_4_ch"/>
    <w:link w:val="Style_28"/>
    <w:rPr>
      <w:rFonts w:ascii="Tahoma" w:hAnsi="Tahoma"/>
      <w:sz w:val="16"/>
    </w:rPr>
  </w:style>
  <w:style w:styleId="Style_29" w:type="paragraph">
    <w:name w:val="toc 8"/>
    <w:next w:val="Style_4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FollowedHyperlink"/>
    <w:basedOn w:val="Style_17"/>
    <w:link w:val="Style_30_ch"/>
    <w:rPr>
      <w:color w:themeColor="followedHyperlink" w:val="800080"/>
      <w:u w:val="single"/>
    </w:rPr>
  </w:style>
  <w:style w:styleId="Style_30_ch" w:type="character">
    <w:name w:val="FollowedHyperlink"/>
    <w:basedOn w:val="Style_17_ch"/>
    <w:link w:val="Style_30"/>
    <w:rPr>
      <w:color w:themeColor="followedHyperlink" w:val="800080"/>
      <w:u w:val="single"/>
    </w:rPr>
  </w:style>
  <w:style w:styleId="Style_31" w:type="paragraph">
    <w:name w:val="toc 5"/>
    <w:next w:val="Style_4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32" w:type="paragraph">
    <w:name w:val="Subtitle"/>
    <w:next w:val="Style_4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4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4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4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37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2015-03-03T07:14:00Z</dcterms:created>
  <dcterms:modified xsi:type="dcterms:W3CDTF">2026-09-14T09:29:50Z</dcterms:modified>
</cp:coreProperties>
</file>